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29" w:rsidRDefault="00220E29"/>
    <w:p w:rsidR="00220E29" w:rsidRDefault="00220E29">
      <w:bookmarkStart w:id="0" w:name="_GoBack"/>
      <w:bookmarkEnd w:id="0"/>
    </w:p>
    <w:tbl>
      <w:tblPr>
        <w:tblpPr w:leftFromText="180" w:rightFromText="180" w:horzAnchor="margin" w:tblpXSpec="center" w:tblpY="-450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841"/>
        <w:gridCol w:w="3650"/>
      </w:tblGrid>
      <w:tr w:rsidR="002C6BBB" w:rsidRPr="006761E7" w:rsidTr="00220E29">
        <w:trPr>
          <w:trHeight w:val="2552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BBB" w:rsidRPr="006761E7" w:rsidRDefault="002C6BBB" w:rsidP="0007015D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  <w:r w:rsidRPr="006761E7">
              <w:rPr>
                <w:rFonts w:eastAsiaTheme="minorEastAsia"/>
                <w:b w:val="0"/>
                <w:szCs w:val="24"/>
              </w:rPr>
              <w:t xml:space="preserve">             </w:t>
            </w:r>
          </w:p>
          <w:p w:rsidR="002C6BBB" w:rsidRPr="006761E7" w:rsidRDefault="002C6BBB" w:rsidP="0007015D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2C6BBB" w:rsidRPr="006761E7" w:rsidRDefault="006761E7" w:rsidP="0007015D">
            <w:pPr>
              <w:pStyle w:val="2"/>
              <w:rPr>
                <w:rFonts w:eastAsiaTheme="minorEastAsia"/>
                <w:b w:val="0"/>
                <w:szCs w:val="24"/>
              </w:rPr>
            </w:pPr>
            <w:r>
              <w:rPr>
                <w:rFonts w:eastAsiaTheme="minorEastAsia"/>
                <w:b w:val="0"/>
                <w:szCs w:val="24"/>
              </w:rPr>
              <w:t xml:space="preserve"> СОВЕТ КУЛАНГИН</w:t>
            </w:r>
            <w:r w:rsidR="00220E29" w:rsidRPr="006761E7">
              <w:rPr>
                <w:rFonts w:eastAsiaTheme="minorEastAsia"/>
                <w:b w:val="0"/>
                <w:szCs w:val="24"/>
              </w:rPr>
              <w:t>СКОГО</w:t>
            </w:r>
            <w:r w:rsidR="002C6BBB" w:rsidRPr="006761E7">
              <w:rPr>
                <w:rFonts w:eastAsiaTheme="minorEastAsia"/>
                <w:b w:val="0"/>
                <w:szCs w:val="24"/>
              </w:rPr>
              <w:t xml:space="preserve"> СЕЛЬСКОГО ПОСЕЛЕНИЯ КАЙБИЦКОГО</w:t>
            </w:r>
          </w:p>
          <w:p w:rsidR="002C6BBB" w:rsidRPr="006761E7" w:rsidRDefault="002C6BBB" w:rsidP="0007015D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6761E7">
              <w:rPr>
                <w:rFonts w:eastAsiaTheme="minorEastAsia"/>
                <w:b w:val="0"/>
                <w:szCs w:val="24"/>
              </w:rPr>
              <w:t xml:space="preserve">МУНИЦИПАЛЬНОГОРАЙОНА </w:t>
            </w:r>
          </w:p>
          <w:p w:rsidR="002C6BBB" w:rsidRPr="006761E7" w:rsidRDefault="002C6BBB" w:rsidP="0007015D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6761E7">
              <w:rPr>
                <w:rFonts w:eastAsiaTheme="minorEastAsia"/>
                <w:b w:val="0"/>
                <w:szCs w:val="24"/>
              </w:rPr>
              <w:t>РЕСПУБЛИКИ ТАТАРСТАН</w:t>
            </w:r>
          </w:p>
          <w:p w:rsidR="002C6BBB" w:rsidRPr="006761E7" w:rsidRDefault="002C6BBB" w:rsidP="0007015D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BBB" w:rsidRPr="006761E7" w:rsidRDefault="002C6BBB" w:rsidP="0007015D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BBB" w:rsidRPr="006761E7" w:rsidRDefault="002C6BBB" w:rsidP="002C6BBB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2C6BBB" w:rsidRPr="006761E7" w:rsidRDefault="002C6BBB" w:rsidP="002C6BBB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2C6BBB" w:rsidRPr="006761E7" w:rsidRDefault="002C6BBB" w:rsidP="002C6BBB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  <w:r w:rsidRPr="006761E7">
              <w:rPr>
                <w:rFonts w:eastAsiaTheme="minorEastAsia"/>
                <w:b w:val="0"/>
                <w:szCs w:val="24"/>
              </w:rPr>
              <w:t xml:space="preserve">      ТАТАРСТАН</w:t>
            </w:r>
          </w:p>
          <w:p w:rsidR="002C6BBB" w:rsidRPr="006761E7" w:rsidRDefault="002C6BBB" w:rsidP="002C6BBB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  <w:r w:rsidRPr="006761E7">
              <w:rPr>
                <w:rFonts w:eastAsiaTheme="minorEastAsia"/>
                <w:b w:val="0"/>
                <w:szCs w:val="24"/>
              </w:rPr>
              <w:t xml:space="preserve">    РЕСПУБЛИКАСЫ</w:t>
            </w:r>
          </w:p>
          <w:p w:rsidR="002C6BBB" w:rsidRPr="006761E7" w:rsidRDefault="00220E29" w:rsidP="002C6BBB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  <w:r w:rsidRPr="006761E7">
              <w:rPr>
                <w:rFonts w:eastAsiaTheme="minorEastAsia"/>
                <w:b w:val="0"/>
                <w:szCs w:val="24"/>
              </w:rPr>
              <w:t>КА</w:t>
            </w:r>
            <w:r w:rsidR="006761E7">
              <w:rPr>
                <w:rFonts w:eastAsiaTheme="minorEastAsia"/>
                <w:b w:val="0"/>
                <w:szCs w:val="24"/>
              </w:rPr>
              <w:t>ЙБЫЧ МУНИЦИПАЛЬ РАЙОНЫ КОЛАНГЫ</w:t>
            </w:r>
            <w:r w:rsidR="002C6BBB" w:rsidRPr="006761E7">
              <w:rPr>
                <w:rFonts w:eastAsiaTheme="minorEastAsia"/>
                <w:b w:val="0"/>
                <w:szCs w:val="24"/>
              </w:rPr>
              <w:t xml:space="preserve"> АВЫЛ ҖИРЛЕГЕ СОВЕТЫ</w:t>
            </w:r>
          </w:p>
        </w:tc>
      </w:tr>
    </w:tbl>
    <w:p w:rsidR="00EE3064" w:rsidRPr="006761E7" w:rsidRDefault="002C6BBB" w:rsidP="002C6BBB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                                                </w:t>
      </w:r>
      <w:r w:rsidR="006761E7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 КАРАР</w:t>
      </w:r>
    </w:p>
    <w:p w:rsidR="004630C0" w:rsidRPr="006761E7" w:rsidRDefault="00D36233" w:rsidP="002C6BBB">
      <w:pPr>
        <w:pStyle w:val="ad"/>
        <w:rPr>
          <w:rFonts w:ascii="Times New Roman" w:hAnsi="Times New Roman" w:cs="Times New Roman"/>
          <w:bCs/>
          <w:sz w:val="28"/>
          <w:szCs w:val="28"/>
        </w:rPr>
      </w:pPr>
      <w:r w:rsidRPr="00676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BBB" w:rsidRPr="00676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1E7">
        <w:rPr>
          <w:rFonts w:ascii="Times New Roman" w:hAnsi="Times New Roman" w:cs="Times New Roman"/>
          <w:bCs/>
          <w:sz w:val="28"/>
          <w:szCs w:val="28"/>
          <w:lang w:val="tt-RU"/>
        </w:rPr>
        <w:t>2019 елның 17</w:t>
      </w:r>
      <w:r w:rsidR="00EE3064" w:rsidRPr="006761E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нче мае</w:t>
      </w:r>
      <w:r w:rsidR="00EE3064" w:rsidRPr="006761E7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6761E7">
        <w:rPr>
          <w:rFonts w:ascii="Times New Roman" w:hAnsi="Times New Roman" w:cs="Times New Roman"/>
          <w:bCs/>
          <w:sz w:val="28"/>
          <w:szCs w:val="28"/>
          <w:lang w:val="tt-RU"/>
        </w:rPr>
        <w:t>Пос.жд.ст.Куланга</w:t>
      </w:r>
      <w:r w:rsidR="006761E7" w:rsidRPr="006761E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20E29" w:rsidRPr="006761E7">
        <w:rPr>
          <w:rFonts w:ascii="Times New Roman" w:hAnsi="Times New Roman" w:cs="Times New Roman"/>
          <w:bCs/>
          <w:sz w:val="28"/>
          <w:szCs w:val="28"/>
        </w:rPr>
        <w:t xml:space="preserve"> № 5</w:t>
      </w:r>
    </w:p>
    <w:p w:rsidR="00EE3064" w:rsidRPr="006761E7" w:rsidRDefault="00EE3064" w:rsidP="002C6BBB">
      <w:pPr>
        <w:pStyle w:val="ad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B320D" w:rsidRPr="006761E7" w:rsidRDefault="00D36233" w:rsidP="008B320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761E7">
        <w:rPr>
          <w:rFonts w:ascii="Times New Roman" w:hAnsi="Times New Roman" w:cs="Times New Roman"/>
        </w:rPr>
        <w:t xml:space="preserve"> </w:t>
      </w:r>
      <w:r w:rsidR="008579A1" w:rsidRPr="006761E7">
        <w:rPr>
          <w:rFonts w:ascii="Times New Roman" w:hAnsi="Times New Roman" w:cs="Times New Roman"/>
        </w:rPr>
        <w:t xml:space="preserve"> </w:t>
      </w:r>
      <w:r w:rsidR="008579A1" w:rsidRPr="006761E7">
        <w:rPr>
          <w:rFonts w:ascii="Times New Roman" w:hAnsi="Times New Roman" w:cs="Times New Roman"/>
          <w:b/>
          <w:sz w:val="28"/>
          <w:szCs w:val="28"/>
          <w:lang w:val="tt-RU"/>
        </w:rPr>
        <w:t>Һ</w:t>
      </w:r>
      <w:proofErr w:type="spellStart"/>
      <w:r w:rsidR="00EC5CE8" w:rsidRPr="006761E7">
        <w:rPr>
          <w:rFonts w:ascii="Times New Roman" w:hAnsi="Times New Roman" w:cs="Times New Roman"/>
          <w:b/>
          <w:sz w:val="28"/>
          <w:szCs w:val="28"/>
        </w:rPr>
        <w:t>өнәри</w:t>
      </w:r>
      <w:proofErr w:type="spellEnd"/>
      <w:r w:rsidR="00EC5CE8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CE8" w:rsidRPr="006761E7">
        <w:rPr>
          <w:rFonts w:ascii="Times New Roman" w:hAnsi="Times New Roman" w:cs="Times New Roman"/>
          <w:b/>
          <w:sz w:val="28"/>
          <w:szCs w:val="28"/>
        </w:rPr>
        <w:t>керемгә</w:t>
      </w:r>
      <w:proofErr w:type="spellEnd"/>
      <w:r w:rsidR="00EC5CE8" w:rsidRPr="006761E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C5CE8" w:rsidRPr="006761E7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  <w:r w:rsidR="00EC5CE8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буенча</w:t>
      </w:r>
      <w:proofErr w:type="spell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</w:p>
    <w:p w:rsidR="008B320D" w:rsidRPr="006761E7" w:rsidRDefault="008B320D" w:rsidP="008B320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E7">
        <w:rPr>
          <w:rFonts w:ascii="Times New Roman" w:hAnsi="Times New Roman" w:cs="Times New Roman"/>
          <w:b/>
          <w:sz w:val="28"/>
          <w:szCs w:val="28"/>
        </w:rPr>
        <w:t>потенциалын</w:t>
      </w:r>
      <w:proofErr w:type="spellEnd"/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E7">
        <w:rPr>
          <w:rFonts w:ascii="Times New Roman" w:hAnsi="Times New Roman" w:cs="Times New Roman"/>
          <w:b/>
          <w:sz w:val="28"/>
          <w:szCs w:val="28"/>
        </w:rPr>
        <w:t>үстерүне</w:t>
      </w:r>
      <w:proofErr w:type="spellEnd"/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E7">
        <w:rPr>
          <w:rFonts w:ascii="Times New Roman" w:hAnsi="Times New Roman" w:cs="Times New Roman"/>
          <w:b/>
          <w:sz w:val="28"/>
          <w:szCs w:val="28"/>
        </w:rPr>
        <w:t>стимуллаштыру</w:t>
      </w:r>
      <w:proofErr w:type="spellEnd"/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20D" w:rsidRPr="006761E7" w:rsidRDefault="008579A1" w:rsidP="008B320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максатларында</w:t>
      </w:r>
      <w:proofErr w:type="spell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алына</w:t>
      </w:r>
      <w:proofErr w:type="spell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торган</w:t>
      </w:r>
      <w:proofErr w:type="spell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башка</w:t>
      </w:r>
      <w:proofErr w:type="gram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бюджетара</w:t>
      </w:r>
      <w:proofErr w:type="spellEnd"/>
    </w:p>
    <w:p w:rsidR="008B320D" w:rsidRPr="006761E7" w:rsidRDefault="008B320D" w:rsidP="008B320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E7">
        <w:rPr>
          <w:rFonts w:ascii="Times New Roman" w:hAnsi="Times New Roman" w:cs="Times New Roman"/>
          <w:b/>
          <w:sz w:val="28"/>
          <w:szCs w:val="28"/>
        </w:rPr>
        <w:t>трансфертлар</w:t>
      </w:r>
      <w:proofErr w:type="spellEnd"/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E7">
        <w:rPr>
          <w:rFonts w:ascii="Times New Roman" w:hAnsi="Times New Roman" w:cs="Times New Roman"/>
          <w:b/>
          <w:sz w:val="28"/>
          <w:szCs w:val="28"/>
        </w:rPr>
        <w:t>акчалары</w:t>
      </w:r>
      <w:proofErr w:type="spellEnd"/>
      <w:r w:rsidRPr="006761E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761E7">
        <w:rPr>
          <w:rFonts w:ascii="Times New Roman" w:hAnsi="Times New Roman" w:cs="Times New Roman"/>
          <w:b/>
          <w:sz w:val="28"/>
          <w:szCs w:val="28"/>
        </w:rPr>
        <w:t>исәбеннән</w:t>
      </w:r>
      <w:proofErr w:type="spellEnd"/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E7">
        <w:rPr>
          <w:rFonts w:ascii="Times New Roman" w:hAnsi="Times New Roman" w:cs="Times New Roman"/>
          <w:b/>
          <w:sz w:val="28"/>
          <w:szCs w:val="28"/>
        </w:rPr>
        <w:t>гамәлгә</w:t>
      </w:r>
      <w:proofErr w:type="spellEnd"/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022" w:rsidRPr="006761E7" w:rsidRDefault="008579A1" w:rsidP="002C6BBB">
      <w:pPr>
        <w:pStyle w:val="ad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ашырыла</w:t>
      </w:r>
      <w:proofErr w:type="spell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торган</w:t>
      </w:r>
      <w:proofErr w:type="spell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чыгымнарны</w:t>
      </w:r>
      <w:proofErr w:type="spell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җибә</w:t>
      </w:r>
      <w:proofErr w:type="gram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B320D" w:rsidRPr="006761E7">
        <w:rPr>
          <w:rFonts w:ascii="Times New Roman" w:hAnsi="Times New Roman" w:cs="Times New Roman"/>
          <w:b/>
          <w:sz w:val="28"/>
          <w:szCs w:val="28"/>
        </w:rPr>
        <w:t>ү</w:t>
      </w:r>
      <w:proofErr w:type="spellEnd"/>
      <w:r w:rsidR="008B320D" w:rsidRPr="00676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20D" w:rsidRPr="006761E7">
        <w:rPr>
          <w:rFonts w:ascii="Times New Roman" w:hAnsi="Times New Roman" w:cs="Times New Roman"/>
          <w:b/>
          <w:sz w:val="28"/>
          <w:szCs w:val="28"/>
        </w:rPr>
        <w:t>хакында</w:t>
      </w:r>
      <w:proofErr w:type="spellEnd"/>
    </w:p>
    <w:p w:rsidR="00AB7022" w:rsidRPr="006761E7" w:rsidRDefault="008B320D" w:rsidP="00AB7022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sz w:val="27"/>
          <w:szCs w:val="27"/>
          <w:lang w:val="tt-RU"/>
        </w:rPr>
        <w:t xml:space="preserve">      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>Муниципаль берәмлекләрнең чыгым йөкләмәләрен үтәүне финанслар белән тәэмин итүгә Татарстан Республикасы бюджетыннан Татарстан Республикасы Муниципаль берәмлекләре бюджетларына башка бюджетара трансфертлар бирү тәртибенең 7 пункты нигезендә, «Татарстан Республикасы бюджетыннан Татарстан Республикасы Муниципаль берәмлекләре муни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ипаль 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>берәмлекләрнең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 чыгым йөкләмәләрен үтәүне финанслар белән тәэмин итүгә башка бюджетара трансфертл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>ар бирү тәртибен раслау турында»гы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Министрлар Кабинетының 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>2010 ел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28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нче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март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>ындагы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233 нче карары белән расланган 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һәм профессиональ керемгә салым буенча салым потенциалы үсешен стимуллаштыру максатларында Татарстан Республикасы 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>Ка</w:t>
      </w:r>
      <w:r w:rsidR="00220E29" w:rsidRPr="006761E7">
        <w:rPr>
          <w:rFonts w:ascii="Times New Roman" w:hAnsi="Times New Roman" w:cs="Times New Roman"/>
          <w:sz w:val="28"/>
          <w:szCs w:val="28"/>
          <w:lang w:val="tt-RU"/>
        </w:rPr>
        <w:t>йбыч</w:t>
      </w:r>
      <w:r w:rsidR="006761E7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 районының  Колангы</w:t>
      </w:r>
      <w:r w:rsidR="00220E29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</w:t>
      </w:r>
      <w:r w:rsidR="00AB7022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C6BBB" w:rsidRPr="006761E7" w:rsidRDefault="00AB7022" w:rsidP="00AB7022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>КАРАР КАБУЛ ИТТЕ</w:t>
      </w:r>
      <w:r w:rsidR="00C81FA0" w:rsidRPr="006761E7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AB7022" w:rsidRPr="006761E7" w:rsidRDefault="002C6BBB" w:rsidP="00AB7022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1. Татарстан Республикасы Кайбыч муниципаль районы бюджетыннан алына торган башка бюджетара трансфертлар исәбенә «Россия Федерациясендә җирле үзидарәне оештыруның гомуми принциплары турында»гы 2003 елның 6 октябрендәге 131-ФЗ номерлы Федераль законның 14 статьясындагы 3 пункты нигезендә һәм «Татарстан Республикасында җирле үзидарә турында»гы 2004 елның 28 июлендәге 45-ТРЗ номерлы Татарстан Республикасы Законының 15 статьясындагы 3 пункты нигезендә авыл җирлегенең җирле әһәмияттәге мәсьәләләрен хәл итүгә юнәлдерелгән чыгымнарны расларга. </w:t>
      </w:r>
    </w:p>
    <w:p w:rsidR="0018203B" w:rsidRPr="006761E7" w:rsidRDefault="0018203B" w:rsidP="00AB7022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   2.  Әлеге карарны «Татарстан Республикасының рәсми</w:t>
      </w:r>
      <w:r w:rsidR="00AB7022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хокукый мәгълүмат порталында 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>(http://pravo.tatarstan.ru) һәм Татарстан Республикасы</w:t>
      </w:r>
      <w:r w:rsidR="00220E29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Кай</w:t>
      </w:r>
      <w:r w:rsidR="006761E7">
        <w:rPr>
          <w:rFonts w:ascii="Times New Roman" w:hAnsi="Times New Roman" w:cs="Times New Roman"/>
          <w:sz w:val="28"/>
          <w:szCs w:val="28"/>
          <w:lang w:val="tt-RU"/>
        </w:rPr>
        <w:t>быч муниципаль районы  Колангы</w:t>
      </w:r>
      <w:r w:rsidR="00220E29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җирлегенең рәсми сайтында.</w:t>
      </w:r>
      <w:r w:rsidR="00AB7022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урнаштыру юлы белән халыкка игълан итәргә.</w:t>
      </w:r>
      <w:r w:rsidR="00AB7022" w:rsidRPr="006761E7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AB7022" w:rsidRPr="006761E7" w:rsidRDefault="00AB7022" w:rsidP="00AB7022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   3.  </w:t>
      </w:r>
      <w:r w:rsidR="0018203B" w:rsidRPr="006761E7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контрольдә тотуны үзем артыннан калдырам</w:t>
      </w:r>
      <w:r w:rsidR="00BD41ED" w:rsidRPr="006761E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761E7" w:rsidRDefault="006761E7" w:rsidP="00AB7022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</w:p>
    <w:p w:rsidR="00AB7022" w:rsidRPr="006761E7" w:rsidRDefault="008579A1" w:rsidP="00AB7022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 </w:t>
      </w:r>
    </w:p>
    <w:p w:rsidR="008579A1" w:rsidRPr="006761E7" w:rsidRDefault="008579A1" w:rsidP="00AB7022">
      <w:pPr>
        <w:pStyle w:val="ad"/>
        <w:rPr>
          <w:rFonts w:ascii="Times New Roman" w:hAnsi="Times New Roman" w:cs="Times New Roman"/>
          <w:sz w:val="28"/>
          <w:szCs w:val="28"/>
          <w:lang w:val="tt-RU"/>
        </w:rPr>
      </w:pPr>
      <w:r w:rsidRPr="006761E7">
        <w:rPr>
          <w:rFonts w:ascii="Times New Roman" w:hAnsi="Times New Roman" w:cs="Times New Roman"/>
          <w:sz w:val="28"/>
          <w:szCs w:val="28"/>
          <w:lang w:val="tt-RU"/>
        </w:rPr>
        <w:t>Кайбыч муниципаль районы</w:t>
      </w:r>
    </w:p>
    <w:p w:rsidR="008579A1" w:rsidRPr="004630C0" w:rsidRDefault="006761E7" w:rsidP="002C6BBB">
      <w:pPr>
        <w:pStyle w:val="ad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Колангы</w:t>
      </w:r>
      <w:r w:rsidR="00220E29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579A1" w:rsidRPr="006761E7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башлыгы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Ф.Т.Нигматзянов</w:t>
      </w:r>
    </w:p>
    <w:sectPr w:rsidR="008579A1" w:rsidRPr="004630C0" w:rsidSect="004630C0">
      <w:headerReference w:type="default" r:id="rId9"/>
      <w:pgSz w:w="11906" w:h="16838"/>
      <w:pgMar w:top="0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D9" w:rsidRDefault="00D37BD9" w:rsidP="00021F1F">
      <w:pPr>
        <w:spacing w:after="0" w:line="240" w:lineRule="auto"/>
      </w:pPr>
      <w:r>
        <w:separator/>
      </w:r>
    </w:p>
  </w:endnote>
  <w:endnote w:type="continuationSeparator" w:id="0">
    <w:p w:rsidR="00D37BD9" w:rsidRDefault="00D37BD9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D9" w:rsidRDefault="00D37BD9" w:rsidP="00021F1F">
      <w:pPr>
        <w:spacing w:after="0" w:line="240" w:lineRule="auto"/>
      </w:pPr>
      <w:r>
        <w:separator/>
      </w:r>
    </w:p>
  </w:footnote>
  <w:footnote w:type="continuationSeparator" w:id="0">
    <w:p w:rsidR="00D37BD9" w:rsidRDefault="00D37BD9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9628"/>
      <w:docPartObj>
        <w:docPartGallery w:val="Page Numbers (Top of Page)"/>
        <w:docPartUnique/>
      </w:docPartObj>
    </w:sdtPr>
    <w:sdtEndPr/>
    <w:sdtContent>
      <w:p w:rsidR="00E456CF" w:rsidRDefault="004A4329">
        <w:pPr>
          <w:pStyle w:val="a7"/>
          <w:jc w:val="center"/>
        </w:pPr>
        <w:r>
          <w:fldChar w:fldCharType="begin"/>
        </w:r>
        <w:r w:rsidR="00E456CF">
          <w:instrText>PAGE   \* MERGEFORMAT</w:instrText>
        </w:r>
        <w:r>
          <w:fldChar w:fldCharType="separate"/>
        </w:r>
        <w:r w:rsidR="006761E7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63A60FF"/>
    <w:multiLevelType w:val="hybridMultilevel"/>
    <w:tmpl w:val="17F43350"/>
    <w:lvl w:ilvl="0" w:tplc="AF42143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67FD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7074"/>
    <w:rsid w:val="000E7846"/>
    <w:rsid w:val="000F3474"/>
    <w:rsid w:val="000F57AA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51085"/>
    <w:rsid w:val="001677AC"/>
    <w:rsid w:val="00170BDF"/>
    <w:rsid w:val="001755D8"/>
    <w:rsid w:val="001802FA"/>
    <w:rsid w:val="0018203B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10A4"/>
    <w:rsid w:val="001D4C62"/>
    <w:rsid w:val="001D7942"/>
    <w:rsid w:val="001E1121"/>
    <w:rsid w:val="001E2455"/>
    <w:rsid w:val="001E5B0D"/>
    <w:rsid w:val="001F3B84"/>
    <w:rsid w:val="00217BAB"/>
    <w:rsid w:val="00220398"/>
    <w:rsid w:val="00220E29"/>
    <w:rsid w:val="00241CE3"/>
    <w:rsid w:val="00242518"/>
    <w:rsid w:val="00245260"/>
    <w:rsid w:val="002502A9"/>
    <w:rsid w:val="00251FBB"/>
    <w:rsid w:val="0025752A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C6BBB"/>
    <w:rsid w:val="002D568B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35C6D"/>
    <w:rsid w:val="0044347C"/>
    <w:rsid w:val="00444AE9"/>
    <w:rsid w:val="0044673E"/>
    <w:rsid w:val="004630C0"/>
    <w:rsid w:val="00463DCA"/>
    <w:rsid w:val="00486E32"/>
    <w:rsid w:val="00487FAB"/>
    <w:rsid w:val="0049068D"/>
    <w:rsid w:val="004932C7"/>
    <w:rsid w:val="004A4329"/>
    <w:rsid w:val="004B19D0"/>
    <w:rsid w:val="004B37C1"/>
    <w:rsid w:val="004C3097"/>
    <w:rsid w:val="004E0180"/>
    <w:rsid w:val="004E66F3"/>
    <w:rsid w:val="004F4A3E"/>
    <w:rsid w:val="004F6735"/>
    <w:rsid w:val="00503AF3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2CA0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0C8B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1E7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4FD"/>
    <w:rsid w:val="007B59E0"/>
    <w:rsid w:val="007C0031"/>
    <w:rsid w:val="007C006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9A1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A7162"/>
    <w:rsid w:val="008B320D"/>
    <w:rsid w:val="008B4F0E"/>
    <w:rsid w:val="008C0163"/>
    <w:rsid w:val="008C0754"/>
    <w:rsid w:val="008C5F0F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974A4"/>
    <w:rsid w:val="00AA5789"/>
    <w:rsid w:val="00AB4BB7"/>
    <w:rsid w:val="00AB7022"/>
    <w:rsid w:val="00AB770C"/>
    <w:rsid w:val="00AC3975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084C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64E0E"/>
    <w:rsid w:val="00C8191B"/>
    <w:rsid w:val="00C81FA0"/>
    <w:rsid w:val="00C82BA4"/>
    <w:rsid w:val="00C9436E"/>
    <w:rsid w:val="00CB0048"/>
    <w:rsid w:val="00CB13CF"/>
    <w:rsid w:val="00CC13A2"/>
    <w:rsid w:val="00CC1C64"/>
    <w:rsid w:val="00CC3855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36233"/>
    <w:rsid w:val="00D37BD9"/>
    <w:rsid w:val="00D41278"/>
    <w:rsid w:val="00D43516"/>
    <w:rsid w:val="00D53550"/>
    <w:rsid w:val="00D56F85"/>
    <w:rsid w:val="00D6197B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C2B8E"/>
    <w:rsid w:val="00DE089E"/>
    <w:rsid w:val="00DF04D7"/>
    <w:rsid w:val="00DF18A9"/>
    <w:rsid w:val="00E049DE"/>
    <w:rsid w:val="00E17BEA"/>
    <w:rsid w:val="00E305C2"/>
    <w:rsid w:val="00E360E3"/>
    <w:rsid w:val="00E451A8"/>
    <w:rsid w:val="00E456CF"/>
    <w:rsid w:val="00E47C97"/>
    <w:rsid w:val="00E51E9E"/>
    <w:rsid w:val="00E53D02"/>
    <w:rsid w:val="00E632C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C5CE8"/>
    <w:rsid w:val="00ED22B8"/>
    <w:rsid w:val="00ED6270"/>
    <w:rsid w:val="00ED78ED"/>
    <w:rsid w:val="00EE0D89"/>
    <w:rsid w:val="00EE3064"/>
    <w:rsid w:val="00EF4C1D"/>
    <w:rsid w:val="00EF7FEF"/>
    <w:rsid w:val="00F1296D"/>
    <w:rsid w:val="00F16FEF"/>
    <w:rsid w:val="00F31432"/>
    <w:rsid w:val="00F44CAD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D7DFB"/>
    <w:rsid w:val="00FE0183"/>
    <w:rsid w:val="00FE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C6BBB"/>
    <w:pPr>
      <w:keepNext/>
      <w:widowControl w:val="0"/>
      <w:overflowPunct w:val="0"/>
      <w:autoSpaceDE w:val="0"/>
      <w:autoSpaceDN w:val="0"/>
      <w:adjustRightInd w:val="0"/>
      <w:spacing w:after="0" w:line="319" w:lineRule="auto"/>
      <w:ind w:left="560"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8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C81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C81F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6B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1"/>
    <w:qFormat/>
    <w:rsid w:val="002C6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C6BBB"/>
    <w:pPr>
      <w:keepNext/>
      <w:widowControl w:val="0"/>
      <w:overflowPunct w:val="0"/>
      <w:autoSpaceDE w:val="0"/>
      <w:autoSpaceDN w:val="0"/>
      <w:adjustRightInd w:val="0"/>
      <w:spacing w:after="0" w:line="319" w:lineRule="auto"/>
      <w:ind w:left="560"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8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C81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C81F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6B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1"/>
    <w:qFormat/>
    <w:rsid w:val="002C6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D08D-200D-467F-BC62-DEDFAD14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Ильсия</cp:lastModifiedBy>
  <cp:revision>3</cp:revision>
  <cp:lastPrinted>2019-07-15T12:20:00Z</cp:lastPrinted>
  <dcterms:created xsi:type="dcterms:W3CDTF">2019-07-15T12:20:00Z</dcterms:created>
  <dcterms:modified xsi:type="dcterms:W3CDTF">2019-07-15T12:20:00Z</dcterms:modified>
</cp:coreProperties>
</file>